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56" w:type="dxa"/>
        <w:tblCellSpacing w:w="15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shd w:val="clear" w:color="auto" w:fill="CCCCCC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2"/>
        <w:gridCol w:w="814"/>
      </w:tblGrid>
      <w:tr w:rsidR="00AA150E" w:rsidRPr="00AA150E" w:rsidTr="00E85F86">
        <w:trPr>
          <w:gridAfter w:val="1"/>
          <w:wAfter w:w="551" w:type="dxa"/>
          <w:tblCellSpacing w:w="15" w:type="dxa"/>
        </w:trPr>
        <w:tc>
          <w:tcPr>
            <w:tcW w:w="0" w:type="auto"/>
            <w:shd w:val="clear" w:color="auto" w:fill="CCCCCC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"/>
              <w:gridCol w:w="5687"/>
              <w:gridCol w:w="66"/>
              <w:gridCol w:w="780"/>
              <w:gridCol w:w="81"/>
            </w:tblGrid>
            <w:tr w:rsidR="00AA150E" w:rsidRPr="00AA150E" w:rsidTr="00AA150E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A150E" w:rsidRPr="00AA150E" w:rsidRDefault="00AA150E" w:rsidP="00AA150E">
                  <w:pPr>
                    <w:spacing w:after="0" w:line="240" w:lineRule="auto"/>
                    <w:ind w:firstLine="709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656565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657" w:type="dxa"/>
                  <w:vAlign w:val="center"/>
                  <w:hideMark/>
                </w:tcPr>
                <w:p w:rsidR="00AA150E" w:rsidRPr="00255033" w:rsidRDefault="00AA150E" w:rsidP="00AA150E">
                  <w:pPr>
                    <w:spacing w:after="0" w:line="240" w:lineRule="auto"/>
                    <w:ind w:right="-836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656565"/>
                      <w:sz w:val="28"/>
                      <w:szCs w:val="28"/>
                      <w:lang w:eastAsia="ru-RU"/>
                    </w:rPr>
                  </w:pPr>
                  <w:r w:rsidRPr="00255033">
                    <w:rPr>
                      <w:rFonts w:ascii="Times New Roman" w:eastAsia="Times New Roman" w:hAnsi="Times New Roman" w:cs="Times New Roman"/>
                      <w:b/>
                      <w:color w:val="656565"/>
                      <w:sz w:val="28"/>
                      <w:szCs w:val="28"/>
                      <w:lang w:eastAsia="ru-RU"/>
                    </w:rPr>
                    <w:t>ТЕХНОЛОГИЧЕСКИЕ   УКЛАДЫ</w:t>
                  </w:r>
                </w:p>
                <w:p w:rsidR="00AA150E" w:rsidRPr="00AA150E" w:rsidRDefault="00AA150E" w:rsidP="00AA150E">
                  <w:pPr>
                    <w:spacing w:after="0" w:line="240" w:lineRule="auto"/>
                    <w:ind w:firstLine="709"/>
                    <w:rPr>
                      <w:rFonts w:ascii="Times New Roman" w:eastAsia="Times New Roman" w:hAnsi="Times New Roman" w:cs="Times New Roman"/>
                      <w:b/>
                      <w:color w:val="656565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50E" w:rsidRPr="00AA150E" w:rsidRDefault="00AA150E" w:rsidP="00AA150E">
                  <w:pPr>
                    <w:spacing w:after="0" w:line="240" w:lineRule="auto"/>
                    <w:ind w:firstLine="709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656565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750" w:type="dxa"/>
                  <w:vAlign w:val="center"/>
                  <w:hideMark/>
                </w:tcPr>
                <w:p w:rsidR="00AA150E" w:rsidRPr="00AA150E" w:rsidRDefault="00AA150E" w:rsidP="00AA150E">
                  <w:pPr>
                    <w:spacing w:after="0" w:line="240" w:lineRule="auto"/>
                    <w:ind w:firstLine="709"/>
                    <w:rPr>
                      <w:rFonts w:ascii="Times New Roman" w:eastAsia="Times New Roman" w:hAnsi="Times New Roman" w:cs="Times New Roman"/>
                      <w:b/>
                      <w:color w:val="656565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50E" w:rsidRPr="00AA150E" w:rsidRDefault="00AA150E" w:rsidP="00AA150E">
                  <w:pPr>
                    <w:spacing w:after="0" w:line="240" w:lineRule="auto"/>
                    <w:ind w:firstLine="709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656565"/>
                      <w:sz w:val="23"/>
                      <w:szCs w:val="23"/>
                      <w:lang w:eastAsia="ru-RU"/>
                    </w:rPr>
                  </w:pPr>
                </w:p>
              </w:tc>
            </w:tr>
          </w:tbl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Palatino Linotype" w:eastAsia="Times New Roman" w:hAnsi="Palatino Linotype" w:cs="Times New Roman"/>
                <w:color w:val="656565"/>
                <w:sz w:val="23"/>
                <w:szCs w:val="23"/>
                <w:lang w:eastAsia="ru-RU"/>
              </w:rPr>
            </w:pPr>
          </w:p>
        </w:tc>
      </w:tr>
      <w:tr w:rsidR="00AA150E" w:rsidRPr="00AA150E" w:rsidTr="00E85F86">
        <w:trPr>
          <w:tblCellSpacing w:w="15" w:type="dxa"/>
        </w:trPr>
        <w:tc>
          <w:tcPr>
            <w:tcW w:w="10196" w:type="dxa"/>
            <w:gridSpan w:val="2"/>
            <w:shd w:val="clear" w:color="auto" w:fill="CCCCCC"/>
            <w:hideMark/>
          </w:tcPr>
          <w:p w:rsidR="00AA150E" w:rsidRDefault="00AA150E" w:rsidP="00AA150E">
            <w:pPr>
              <w:spacing w:after="0" w:line="240" w:lineRule="auto"/>
              <w:ind w:firstLine="709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bookmarkStart w:id="0" w:name="781"/>
            <w:bookmarkEnd w:id="0"/>
            <w:r w:rsidRPr="00AA1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Третий технологический уклад (1880–1930)</w:t>
            </w:r>
          </w:p>
          <w:p w:rsidR="00E85F86" w:rsidRPr="00AA150E" w:rsidRDefault="00E85F86" w:rsidP="00AA150E">
            <w:pPr>
              <w:spacing w:after="0" w:line="240" w:lineRule="auto"/>
              <w:ind w:firstLine="709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Главная особенность – широкое использование электродвигателей и бурное развитие электротехники. Одновременно происходит специализация паровых двигателей. Доминирующим становится потребление переменного тока, развернулось строительство электростанций. Наиболее важным энергоносителем в период господства данного уклада становится уголь. В это же время на энергетическом рынке начинает завоевывать позиции и нефть, хотя стоит заметить, что ведущим энергоносителем она стала только на четвертом ТУ.</w:t>
            </w:r>
          </w:p>
          <w:p w:rsid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Большие успехи в этот период делает химическая промышленность. Из многих химико-технологических нововведений значение приобрели: аммиачный процесс получения соды, получение серной кислоты контактным способом, электрохимическая технология.</w:t>
            </w:r>
          </w:p>
          <w:p w:rsidR="00E85F86" w:rsidRPr="00AA150E" w:rsidRDefault="00E85F86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AA150E" w:rsidRPr="00AA150E" w:rsidRDefault="00AA150E" w:rsidP="00AA150E">
            <w:pPr>
              <w:spacing w:after="0" w:line="240" w:lineRule="auto"/>
              <w:ind w:firstLine="709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bookmarkStart w:id="1" w:name="820"/>
            <w:bookmarkEnd w:id="1"/>
            <w:r w:rsidRPr="00AA1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Четвертый технологический уклад (1930–1970)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 1940-м гг. техника, составляющая основу третьего ТУ, достигла пределов своего развития и совершенствования. Тогда началось формирование четвертого ТУ, заложившего новые направления развития техники. Необходимая материально-техническая база к этому времени уже оказалась сформированной. Например, были созданы и освоены: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• автодорожная инфраструктура;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• сети телефонной связи;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• новые технологии и инфраструктуры нефтедобычи;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• технологические процессы в цветной металлургии.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В период третьего ТУ был внедрен двигатель внутреннего сгорания, ставший одним из базисных нововведений четвертого ТУ. Тогда же произошло становление автомобилестроительной промышленности и освоение первых образцов гусеничной транспортной и специальной техники, сформировавших ядро четвертого ТУ. К числу отраслей, составивших ядро четвертого ТУ, относятся химическая промышленность (прежде всего, органическая химия), автомобилестроение и производство моторизированных вооружений. Для этого этапа характерны новая машинная база, комплексная механизация производства, автоматизация многих основных технологических процессов, широкое использование квалифицированной рабочей силы, рост специализации производства.</w:t>
            </w:r>
          </w:p>
          <w:p w:rsid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В течение жизненного цикла четвертого ТУ продолжалось опережающее развитие электроэнергетики. Лидирующим энергоносителем становится нефть. Нефтепродукты используются как </w:t>
            </w: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>основное топливо практически для всех видов транспорта – дизельных локомотивов, автомобилей, самолетов, вертолетов, ракет. Нефть также превратилась в важнейшее сырье для химической промышленности. С расширением четвертого ТУ создается глобальная система телекоммуникаций на базе телефонной и радиосвязи. Произошел переход населения к новому типу потребления, отличающемуся массовым потреблением товаров длительного пользования, синтетических товаров.</w:t>
            </w:r>
          </w:p>
          <w:p w:rsidR="00E85F86" w:rsidRDefault="00E85F86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E85F86" w:rsidRDefault="00E85F86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E85F86" w:rsidRDefault="00E85F86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E85F86" w:rsidRDefault="00E85F86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E85F86" w:rsidRPr="00AA150E" w:rsidRDefault="00E85F86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AA150E" w:rsidRPr="00AA150E" w:rsidRDefault="00AA150E" w:rsidP="00AA150E">
            <w:pPr>
              <w:spacing w:after="0" w:line="240" w:lineRule="auto"/>
              <w:ind w:firstLine="709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</w:pPr>
            <w:bookmarkStart w:id="2" w:name="392"/>
            <w:bookmarkEnd w:id="2"/>
            <w:r w:rsidRPr="00AA1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Пятый технологический уклад (1970–2010)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 1970-м гг. в развитых странах четвертый ТУ достиг пределов своего расширения. С этого времени начинает формироваться пятый ТУ, который сейчас доминирует в большинстве развитых стран. Этот уклад может быть определен как уклад информационных и коммуникационных технологий. К ключевым факторам относятся микроэлектроника и программное обеспечение. Среди наиболее важных отраслей следует выделить производство средств автоматизации и телекоммуникационного оборудования.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Как уже отмечалось, большинство инноваций нового уклада формируются в фазе доминирования предыдущего уклада. Это особенно хорошо демонстрируется в данном случае. По оценкам специалистов, около 80% основных нововведений пятого ТУ было внедрено еще до 1984 г. А самое раннее внедрение относится к 1947 г. – периоду создания транзистора. Первая ЭМВ появилась в 1949 г., первая операционная система – в 1954 г., кремниевый транзистор – в 1954 г. Эти изобретения послужили фундаментом для создания пятого ТУ. Одновременно с развитием полупроводниковой промышленности наблюдался быстрый прогресс в области программного обеспечения – к концу 1950-х гг. появилось семейство первых программных языков высокого уровня.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Однако распространению нового пятого ТУ препятствовала неразвитость ведущих отраслей, становление которых, в свою очередь, наталкивалось на ограниченность спроса, поскольку новые технологии были еще недостаточно эффективными и не воспринимались существующими институтами. Внедрение микропроцессора в 1971 г. явилось переломным моментом в становлении пятого ТУ и открыло новые возможности для быстрого прогресса по всем направлениям.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Изобретение микрокомпьютера и связанный с этим быстрый прогре</w:t>
            </w:r>
            <w:proofErr w:type="gramStart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сс в пр</w:t>
            </w:r>
            <w:proofErr w:type="gramEnd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ограммном обеспечении сделали информационную </w:t>
            </w: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>технологию удобной, дешевой и доступной как для производственного, так и для непроизводственного потребления. Движущие отрасли информационного уклада вступили в фазу зрелости.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Начало пятого ТУ связывается с развитием новых средств коммуникации, цифровых сетей, компьютерных программ и генной инженерии. Пятый ТУ активно генерирует создание и непрерывное совершенствование как новых машин и оборудования (компьютеры, числовое программное управление (ЧПУ), роботов, обрабатывающие центры, различного рода автоматы), так и информационных систем (баз данных, локальных и интегральных вычислительных систем, информационных языков и программных средств переработки информации). </w:t>
            </w:r>
            <w:proofErr w:type="gramStart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Важное значение</w:t>
            </w:r>
            <w:proofErr w:type="gramEnd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среди ведущих производств пятого ТУ в обрабатывающей промышленности имеют гибкие автоматизированные производства (ГАП). Гибкая автоматизация промышленного производства резко расширяет разнообразие выпускаемой продукции. Кроме того, для пятого ТУ </w:t>
            </w:r>
            <w:proofErr w:type="gramStart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характерна</w:t>
            </w:r>
            <w:proofErr w:type="gramEnd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деурбанизация</w:t>
            </w:r>
            <w:proofErr w:type="spellEnd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населения и связанное с ней развитие новой информационной и транспортной инфраструктуры. Свободный доступ каждого человека к глобальным информационным сетям, развитие глобальных систем массовой информации, авиационного транспорта радикальным образом меняют человеческие представления о времени и пространстве. Это в свою очередь сказывается на структуре потребностей и мотивации поведения людей.</w:t>
            </w:r>
          </w:p>
          <w:p w:rsid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В течение жизненного цикла пятого ТУ возрастает роль природного газа и НИЭ.</w:t>
            </w:r>
          </w:p>
          <w:p w:rsidR="00E85F86" w:rsidRDefault="00E85F86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E85F86" w:rsidRPr="00AA150E" w:rsidRDefault="00E85F86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AA150E" w:rsidRPr="00AA150E" w:rsidRDefault="00AA150E" w:rsidP="00AA150E">
            <w:pPr>
              <w:spacing w:after="0" w:line="240" w:lineRule="auto"/>
              <w:ind w:firstLine="709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</w:pPr>
            <w:bookmarkStart w:id="3" w:name="975"/>
            <w:bookmarkEnd w:id="3"/>
            <w:r w:rsidRPr="00AA1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Шестой технологический уклад (2010 – настоящее время)</w:t>
            </w:r>
          </w:p>
          <w:p w:rsidR="00AA150E" w:rsidRPr="00AA150E" w:rsidRDefault="00AA150E" w:rsidP="00AA150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 начала 2000-х гг. в недрах пятого ТУ стали все заметнее появляться элементы шестого ТУ. К его ключевым направлениям относятся биотехнологии, системы искусственного интеллекта,</w:t>
            </w:r>
            <w:r w:rsidRPr="0025503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 </w:t>
            </w:r>
            <w:proofErr w:type="spellStart"/>
            <w:r w:rsidRPr="002550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СALS</w:t>
            </w:r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-технологии</w:t>
            </w:r>
            <w:proofErr w:type="spellEnd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, глобальные информационные сети и интегрированные высокоскоростные транспортные системы, компьютерное образование, формирование </w:t>
            </w:r>
            <w:proofErr w:type="gramStart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сетевых</w:t>
            </w:r>
            <w:proofErr w:type="gramEnd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бизнес-сообществ</w:t>
            </w:r>
            <w:proofErr w:type="spellEnd"/>
            <w:r w:rsidRPr="00AA15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 Это те отрасли, которые сейчас развиваются в ведущих странах особенно быстрыми темпами (иногда от 20 до 100% в год).</w:t>
            </w:r>
          </w:p>
        </w:tc>
      </w:tr>
    </w:tbl>
    <w:p w:rsidR="00602290" w:rsidRDefault="00602290"/>
    <w:p w:rsidR="003D6E4F" w:rsidRDefault="003D6E4F"/>
    <w:p w:rsidR="003D6E4F" w:rsidRDefault="003D6E4F"/>
    <w:sectPr w:rsidR="003D6E4F" w:rsidSect="00E85F86">
      <w:pgSz w:w="11906" w:h="16838"/>
      <w:pgMar w:top="624" w:right="244" w:bottom="79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150E"/>
    <w:rsid w:val="00255033"/>
    <w:rsid w:val="003128F4"/>
    <w:rsid w:val="003D6E4F"/>
    <w:rsid w:val="00602290"/>
    <w:rsid w:val="00904828"/>
    <w:rsid w:val="00990B0E"/>
    <w:rsid w:val="00AA150E"/>
    <w:rsid w:val="00E85F86"/>
    <w:rsid w:val="00FD1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90"/>
  </w:style>
  <w:style w:type="paragraph" w:styleId="4">
    <w:name w:val="heading 4"/>
    <w:basedOn w:val="a"/>
    <w:link w:val="40"/>
    <w:uiPriority w:val="9"/>
    <w:qFormat/>
    <w:rsid w:val="00AA150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A150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A150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A1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A150E"/>
  </w:style>
  <w:style w:type="character" w:styleId="a5">
    <w:name w:val="Strong"/>
    <w:basedOn w:val="a0"/>
    <w:uiPriority w:val="22"/>
    <w:qFormat/>
    <w:rsid w:val="00AA150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3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953</Words>
  <Characters>5436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2017-02-07T04:05:00Z</cp:lastPrinted>
  <dcterms:created xsi:type="dcterms:W3CDTF">2017-02-06T16:50:00Z</dcterms:created>
  <dcterms:modified xsi:type="dcterms:W3CDTF">2017-02-27T13:09:00Z</dcterms:modified>
</cp:coreProperties>
</file>